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3"/>
      </w:tblGrid>
      <w:tr w:rsidR="00E47001" w:rsidTr="00E47001">
        <w:trPr>
          <w:trHeight w:val="1692"/>
        </w:trPr>
        <w:tc>
          <w:tcPr>
            <w:tcW w:w="5108" w:type="dxa"/>
          </w:tcPr>
          <w:p w:rsidR="00E47001" w:rsidRDefault="00E47001">
            <w:pPr>
              <w:rPr>
                <w:rFonts w:ascii="Times New Roman" w:eastAsia="Times New Roman" w:hAnsi="Times New Roman"/>
                <w:sz w:val="28"/>
                <w:szCs w:val="28"/>
                <w:lang w:eastAsia="ru-RU"/>
              </w:rPr>
            </w:pPr>
          </w:p>
        </w:tc>
        <w:tc>
          <w:tcPr>
            <w:tcW w:w="5108" w:type="dxa"/>
          </w:tcPr>
          <w:p w:rsidR="00E47001" w:rsidRDefault="00E4700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w:t>
            </w:r>
          </w:p>
          <w:p w:rsidR="00E47001" w:rsidRDefault="00E4700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Приказом Комитета по </w:t>
            </w:r>
            <w:proofErr w:type="gramStart"/>
            <w:r>
              <w:rPr>
                <w:rFonts w:ascii="Times New Roman" w:eastAsia="Times New Roman" w:hAnsi="Times New Roman"/>
                <w:sz w:val="28"/>
                <w:szCs w:val="28"/>
                <w:lang w:eastAsia="ru-RU"/>
              </w:rPr>
              <w:t>молодежной</w:t>
            </w:r>
            <w:proofErr w:type="gramEnd"/>
          </w:p>
          <w:p w:rsidR="00E47001" w:rsidRDefault="00E4700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политике, физической культуре</w:t>
            </w:r>
          </w:p>
          <w:p w:rsidR="00E47001" w:rsidRDefault="00E4700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 спорту Республики Алтай</w:t>
            </w:r>
          </w:p>
          <w:p w:rsidR="00E47001" w:rsidRDefault="00E47001">
            <w:pPr>
              <w:jc w:val="center"/>
              <w:rPr>
                <w:rFonts w:ascii="Times New Roman" w:hAnsi="Times New Roman"/>
                <w:sz w:val="28"/>
                <w:szCs w:val="28"/>
              </w:rPr>
            </w:pPr>
            <w:r>
              <w:rPr>
                <w:rFonts w:ascii="Times New Roman" w:eastAsia="Times New Roman" w:hAnsi="Times New Roman"/>
                <w:sz w:val="28"/>
                <w:szCs w:val="28"/>
                <w:lang w:eastAsia="ru-RU"/>
              </w:rPr>
              <w:t>от 4 декабря 2015 г. № 324/1-03</w:t>
            </w:r>
          </w:p>
          <w:p w:rsidR="00E47001" w:rsidRDefault="00E47001">
            <w:pPr>
              <w:rPr>
                <w:rFonts w:ascii="Times New Roman" w:eastAsia="Times New Roman" w:hAnsi="Times New Roman"/>
                <w:sz w:val="28"/>
                <w:szCs w:val="28"/>
                <w:lang w:eastAsia="ru-RU"/>
              </w:rPr>
            </w:pPr>
          </w:p>
        </w:tc>
      </w:tr>
    </w:tbl>
    <w:p w:rsidR="00E47001" w:rsidRDefault="00E47001" w:rsidP="00E4700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E47001" w:rsidRDefault="00E47001" w:rsidP="00E47001">
      <w:pPr>
        <w:spacing w:after="0" w:line="240" w:lineRule="auto"/>
        <w:jc w:val="center"/>
        <w:rPr>
          <w:rFonts w:ascii="Times New Roman" w:hAnsi="Times New Roman"/>
          <w:b/>
          <w:bCs/>
          <w:sz w:val="28"/>
          <w:szCs w:val="28"/>
        </w:rPr>
      </w:pPr>
      <w:r>
        <w:rPr>
          <w:rFonts w:ascii="Times New Roman" w:hAnsi="Times New Roman"/>
          <w:b/>
          <w:bCs/>
          <w:sz w:val="28"/>
          <w:szCs w:val="28"/>
        </w:rPr>
        <w:t>Порядок</w:t>
      </w:r>
      <w:r>
        <w:rPr>
          <w:rFonts w:ascii="Times New Roman" w:hAnsi="Times New Roman"/>
          <w:b/>
          <w:bCs/>
          <w:sz w:val="28"/>
          <w:szCs w:val="28"/>
        </w:rPr>
        <w:br/>
        <w:t>проведения антикоррупционной экспертизы нормативных правовых актов и проектов нормативных правовых актов Комитета по молодежной политике, физической культуре и спорту Республики Алтай</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before="108" w:after="108" w:line="240" w:lineRule="auto"/>
        <w:jc w:val="center"/>
        <w:outlineLvl w:val="0"/>
        <w:rPr>
          <w:rFonts w:ascii="Times New Roman" w:hAnsi="Times New Roman"/>
          <w:b/>
          <w:bCs/>
          <w:sz w:val="28"/>
          <w:szCs w:val="28"/>
        </w:rPr>
      </w:pPr>
      <w:bookmarkStart w:id="0" w:name="sub_100"/>
      <w:r>
        <w:rPr>
          <w:rFonts w:ascii="Times New Roman" w:hAnsi="Times New Roman"/>
          <w:b/>
          <w:bCs/>
          <w:sz w:val="28"/>
          <w:szCs w:val="28"/>
        </w:rPr>
        <w:t>I. Общие положения</w:t>
      </w:r>
    </w:p>
    <w:bookmarkEnd w:id="0"/>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 w:name="sub_1001"/>
      <w:r>
        <w:rPr>
          <w:rFonts w:ascii="Times New Roman" w:hAnsi="Times New Roman"/>
          <w:sz w:val="28"/>
          <w:szCs w:val="28"/>
        </w:rPr>
        <w:t>1. Порядок проведения антикоррупционной экспертизы нормативных правовых актов и проектов нормативных правовых актов Комитета по молодежной политике, физической культуре и спорту Республики Алтай (далее - Порядок) определяет процедуру проведения антикоррупционной экспертизы нормативных правовых актов и проектов нормативных правовых актов Комитета по молодежной политике, физической культуре и спорту Республики Алтай (далее – Комитет).</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 w:name="sub_1002"/>
      <w:bookmarkEnd w:id="1"/>
      <w:r>
        <w:rPr>
          <w:rFonts w:ascii="Times New Roman" w:hAnsi="Times New Roman"/>
          <w:sz w:val="28"/>
          <w:szCs w:val="28"/>
        </w:rPr>
        <w:t>2. Антикоррупционная экспертиза проводится при проведении правовой экспертизы нормативных правовых актов и проектов нормативных правовых актов Комитета и мониторинге применения принятых нормативных правовых актов Комитета.</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3" w:name="sub_1003"/>
      <w:bookmarkEnd w:id="2"/>
      <w:r>
        <w:rPr>
          <w:rFonts w:ascii="Times New Roman" w:hAnsi="Times New Roman"/>
          <w:sz w:val="28"/>
          <w:szCs w:val="28"/>
        </w:rPr>
        <w:t>3.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4" w:name="sub_1004"/>
      <w:bookmarkEnd w:id="3"/>
      <w:r>
        <w:rPr>
          <w:rFonts w:ascii="Times New Roman" w:hAnsi="Times New Roman"/>
          <w:sz w:val="28"/>
          <w:szCs w:val="28"/>
        </w:rPr>
        <w:t xml:space="preserve">4. </w:t>
      </w:r>
      <w:proofErr w:type="gramStart"/>
      <w:r>
        <w:rPr>
          <w:rFonts w:ascii="Times New Roman" w:hAnsi="Times New Roman"/>
          <w:sz w:val="28"/>
          <w:szCs w:val="28"/>
        </w:rPr>
        <w:t xml:space="preserve">Антикоррупционную экспертизу нормативных правовых актов и проектов нормативных правовых актов проводит ответственное лицо Комитета, в соответствии с </w:t>
      </w:r>
      <w:bookmarkStart w:id="5" w:name="sub_5"/>
      <w:r>
        <w:rPr>
          <w:rFonts w:ascii="Times New Roman" w:hAnsi="Times New Roman"/>
          <w:bCs/>
          <w:sz w:val="28"/>
          <w:szCs w:val="28"/>
        </w:rPr>
        <w:t>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w:t>
      </w:r>
      <w:r>
        <w:rPr>
          <w:rFonts w:ascii="Times New Roman" w:hAnsi="Times New Roman"/>
          <w:bCs/>
          <w:sz w:val="28"/>
          <w:szCs w:val="28"/>
        </w:rPr>
        <w:br/>
        <w:t xml:space="preserve">(утвержден </w:t>
      </w:r>
      <w:hyperlink r:id="rId5" w:anchor="sub_0" w:history="1">
        <w:r>
          <w:rPr>
            <w:rStyle w:val="a4"/>
            <w:rFonts w:ascii="Times New Roman" w:hAnsi="Times New Roman"/>
            <w:color w:val="auto"/>
            <w:sz w:val="28"/>
            <w:szCs w:val="28"/>
            <w:u w:val="none"/>
          </w:rPr>
          <w:t>постановлением</w:t>
        </w:r>
      </w:hyperlink>
      <w:r>
        <w:rPr>
          <w:rFonts w:ascii="Times New Roman" w:hAnsi="Times New Roman"/>
          <w:bCs/>
          <w:sz w:val="28"/>
          <w:szCs w:val="28"/>
        </w:rPr>
        <w:t xml:space="preserve"> Правительства</w:t>
      </w:r>
      <w:proofErr w:type="gramEnd"/>
      <w:r>
        <w:rPr>
          <w:rFonts w:ascii="Times New Roman" w:hAnsi="Times New Roman"/>
          <w:bCs/>
          <w:sz w:val="28"/>
          <w:szCs w:val="28"/>
        </w:rPr>
        <w:t xml:space="preserve"> </w:t>
      </w:r>
      <w:proofErr w:type="gramStart"/>
      <w:r>
        <w:rPr>
          <w:rFonts w:ascii="Times New Roman" w:hAnsi="Times New Roman"/>
          <w:bCs/>
          <w:sz w:val="28"/>
          <w:szCs w:val="28"/>
        </w:rPr>
        <w:t xml:space="preserve">Республики Алтай от 24 июня 2010 года № 125) </w:t>
      </w:r>
      <w:bookmarkEnd w:id="5"/>
      <w:r>
        <w:rPr>
          <w:rFonts w:ascii="Times New Roman" w:hAnsi="Times New Roman"/>
          <w:sz w:val="28"/>
          <w:szCs w:val="28"/>
        </w:rPr>
        <w:t>и настоящим Порядком.</w:t>
      </w:r>
      <w:proofErr w:type="gramEnd"/>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6" w:name="sub_1005"/>
      <w:bookmarkEnd w:id="4"/>
      <w:r>
        <w:rPr>
          <w:rFonts w:ascii="Times New Roman" w:hAnsi="Times New Roman"/>
          <w:sz w:val="28"/>
          <w:szCs w:val="28"/>
        </w:rPr>
        <w:t xml:space="preserve">5. Специалисты Комитета, ответственные за подготовку проекта нормативного правового акта, при его разработке руководствуются настоящим </w:t>
      </w:r>
      <w:hyperlink r:id="rId6" w:history="1">
        <w:r>
          <w:rPr>
            <w:rStyle w:val="a4"/>
            <w:rFonts w:ascii="Times New Roman" w:hAnsi="Times New Roman"/>
            <w:color w:val="auto"/>
            <w:sz w:val="28"/>
            <w:szCs w:val="28"/>
            <w:u w:val="none"/>
          </w:rPr>
          <w:t>Порядком</w:t>
        </w:r>
      </w:hyperlink>
      <w:r>
        <w:rPr>
          <w:rFonts w:ascii="Times New Roman" w:hAnsi="Times New Roman"/>
          <w:sz w:val="28"/>
          <w:szCs w:val="28"/>
        </w:rPr>
        <w:t xml:space="preserve"> в целях недопущения включения в проекты нормативных правовых актов коррупциогенных факторов.</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7" w:name="sub_1006"/>
      <w:bookmarkEnd w:id="6"/>
      <w:r>
        <w:rPr>
          <w:rFonts w:ascii="Times New Roman" w:hAnsi="Times New Roman"/>
          <w:sz w:val="28"/>
          <w:szCs w:val="28"/>
        </w:rPr>
        <w:lastRenderedPageBreak/>
        <w:t>6. Срок проведения антикоррупционной экспертизы нормативных правовых актов и проектов нормативных правовых актов Комитета не должен превышать 10 рабочих дней со дня поступления их ответственному лицу.</w:t>
      </w:r>
    </w:p>
    <w:bookmarkEnd w:id="7"/>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before="108" w:after="108" w:line="240" w:lineRule="auto"/>
        <w:jc w:val="center"/>
        <w:outlineLvl w:val="0"/>
        <w:rPr>
          <w:rFonts w:ascii="Times New Roman" w:hAnsi="Times New Roman"/>
          <w:b/>
          <w:bCs/>
          <w:sz w:val="28"/>
          <w:szCs w:val="28"/>
        </w:rPr>
      </w:pPr>
      <w:bookmarkStart w:id="8" w:name="sub_200"/>
      <w:r>
        <w:rPr>
          <w:rFonts w:ascii="Times New Roman" w:hAnsi="Times New Roman"/>
          <w:b/>
          <w:bCs/>
          <w:sz w:val="28"/>
          <w:szCs w:val="28"/>
        </w:rPr>
        <w:t>II. Антикоррупционная экспертиза проектов нормативных правовых актов</w:t>
      </w:r>
    </w:p>
    <w:bookmarkEnd w:id="8"/>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9" w:name="sub_1008"/>
      <w:r>
        <w:rPr>
          <w:rFonts w:ascii="Times New Roman" w:hAnsi="Times New Roman"/>
          <w:sz w:val="28"/>
          <w:szCs w:val="28"/>
        </w:rPr>
        <w:t xml:space="preserve">7. Антикоррупционная экспертиза проектов нормативных правовых актов проводится ответственным лицом согласно настоящего </w:t>
      </w:r>
      <w:hyperlink r:id="rId7" w:history="1">
        <w:proofErr w:type="gramStart"/>
        <w:r>
          <w:rPr>
            <w:rStyle w:val="a4"/>
            <w:rFonts w:ascii="Times New Roman" w:hAnsi="Times New Roman"/>
            <w:color w:val="auto"/>
            <w:sz w:val="28"/>
            <w:szCs w:val="28"/>
            <w:u w:val="none"/>
          </w:rPr>
          <w:t>Порядк</w:t>
        </w:r>
      </w:hyperlink>
      <w:r>
        <w:rPr>
          <w:rFonts w:ascii="Times New Roman" w:hAnsi="Times New Roman"/>
          <w:sz w:val="28"/>
          <w:szCs w:val="28"/>
        </w:rPr>
        <w:t>а</w:t>
      </w:r>
      <w:proofErr w:type="gramEnd"/>
      <w:r>
        <w:rPr>
          <w:rFonts w:ascii="Times New Roman" w:hAnsi="Times New Roman"/>
          <w:sz w:val="28"/>
          <w:szCs w:val="28"/>
        </w:rPr>
        <w:t>.</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0" w:name="sub_1009"/>
      <w:bookmarkEnd w:id="9"/>
      <w:r>
        <w:rPr>
          <w:rFonts w:ascii="Times New Roman" w:hAnsi="Times New Roman"/>
          <w:sz w:val="28"/>
          <w:szCs w:val="28"/>
        </w:rPr>
        <w:t>8. При предоставлении проекта нормативного правового акта ответственному лицу к нему прилагается справка, в которой указываются:</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1" w:name="sub_1091"/>
      <w:bookmarkEnd w:id="10"/>
      <w:r>
        <w:rPr>
          <w:rFonts w:ascii="Times New Roman" w:hAnsi="Times New Roman"/>
          <w:sz w:val="28"/>
          <w:szCs w:val="28"/>
        </w:rPr>
        <w:t>а) основания издания нормативного правового акта (сведения об актах законодательства Российской Федерации (наименование, дата, номер, официальный источник опубликования, номера статей, пунктов);</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2" w:name="sub_1092"/>
      <w:bookmarkEnd w:id="11"/>
      <w:proofErr w:type="gramStart"/>
      <w:r>
        <w:rPr>
          <w:rFonts w:ascii="Times New Roman" w:hAnsi="Times New Roman"/>
          <w:sz w:val="28"/>
          <w:szCs w:val="28"/>
        </w:rPr>
        <w:t>б) сведения обо всех действующих актах, изданных Комитетом по данному вопросу, с указанием регистрационных номеров и даты регистрации и информации о сроках их приведения в соответствие с принятым актом;</w:t>
      </w:r>
      <w:proofErr w:type="gramEnd"/>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3" w:name="sub_1093"/>
      <w:bookmarkEnd w:id="12"/>
      <w:r>
        <w:rPr>
          <w:rFonts w:ascii="Times New Roman" w:hAnsi="Times New Roman"/>
          <w:sz w:val="28"/>
          <w:szCs w:val="28"/>
        </w:rPr>
        <w:t>в) перечень актов законодательства Российской Федерации и Республики Алтай, использованных при разработке проекта нормативного правового акта (наименование, дата, номер, официальный источник опубликования, номера статей, пунктов);</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4" w:name="sub_1094"/>
      <w:bookmarkEnd w:id="13"/>
      <w:r>
        <w:rPr>
          <w:rFonts w:ascii="Times New Roman" w:hAnsi="Times New Roman"/>
          <w:sz w:val="28"/>
          <w:szCs w:val="28"/>
        </w:rPr>
        <w:t>г) сведения о необходимости согласования проекта нормативного правового акта с заинтересованными государственными органами исполнительной власти Республики Алтай</w:t>
      </w:r>
      <w:bookmarkStart w:id="15" w:name="sub_1097"/>
      <w:bookmarkEnd w:id="14"/>
      <w:r>
        <w:rPr>
          <w:rFonts w:ascii="Times New Roman" w:hAnsi="Times New Roman"/>
          <w:sz w:val="28"/>
          <w:szCs w:val="28"/>
        </w:rPr>
        <w:t>.</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6" w:name="sub_1010"/>
      <w:bookmarkEnd w:id="15"/>
      <w:r>
        <w:rPr>
          <w:rFonts w:ascii="Times New Roman" w:hAnsi="Times New Roman"/>
          <w:sz w:val="28"/>
          <w:szCs w:val="28"/>
        </w:rPr>
        <w:t>9. По результатам проведения антикоррупционной и правовой экспертиз проекта нормативного правового акта дается письменное заключение, которое подписывается ответственным лицом, в котором отражается результат проведенной антикоррупционной экспертизы.</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7" w:name="sub_1011"/>
      <w:bookmarkEnd w:id="16"/>
      <w:r>
        <w:rPr>
          <w:rFonts w:ascii="Times New Roman" w:hAnsi="Times New Roman"/>
          <w:sz w:val="28"/>
          <w:szCs w:val="28"/>
        </w:rPr>
        <w:t>10. Ответственное лицо при проведении правовой экспертизы проводит антикоррупционную экспертизу каждой нормы проекта нормативного правового акта в соответствии с требованиями настоящего Порядка.</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8" w:name="sub_1012"/>
      <w:bookmarkEnd w:id="17"/>
      <w:r>
        <w:rPr>
          <w:rFonts w:ascii="Times New Roman" w:hAnsi="Times New Roman"/>
          <w:sz w:val="28"/>
          <w:szCs w:val="28"/>
        </w:rPr>
        <w:t xml:space="preserve">11. При выявлении в проекте нормативного правового акта коррупциогенных факторов в заключении озвучиваются все выявленные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с указанием структурных единиц (разделов, глав, пунктов, подпунктов, абзацев), в которых они содержатся, со ссылкой на положения настоящего </w:t>
      </w:r>
      <w:hyperlink r:id="rId8" w:history="1">
        <w:r>
          <w:rPr>
            <w:rStyle w:val="a4"/>
            <w:rFonts w:ascii="Times New Roman" w:hAnsi="Times New Roman"/>
            <w:color w:val="auto"/>
            <w:sz w:val="28"/>
            <w:szCs w:val="28"/>
            <w:u w:val="none"/>
          </w:rPr>
          <w:t>Порядка</w:t>
        </w:r>
      </w:hyperlink>
      <w:r>
        <w:rPr>
          <w:rFonts w:ascii="Times New Roman" w:hAnsi="Times New Roman"/>
          <w:sz w:val="28"/>
          <w:szCs w:val="28"/>
        </w:rPr>
        <w:t>. Одновременно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указываются предложения по устранению выявленных коррупциогенных факторов.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проекте нормативного правового акта отсутствуют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в заключении отражаются указанные сведения.</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19" w:name="sub_1013"/>
      <w:bookmarkEnd w:id="18"/>
      <w:r>
        <w:rPr>
          <w:rFonts w:ascii="Times New Roman" w:hAnsi="Times New Roman"/>
          <w:sz w:val="28"/>
          <w:szCs w:val="28"/>
        </w:rPr>
        <w:t xml:space="preserve">12. </w:t>
      </w:r>
      <w:bookmarkStart w:id="20" w:name="sub_1014"/>
      <w:bookmarkEnd w:id="19"/>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выявленные при проведении антикоррупционной экспертизы проекта нормативного правового акта, устраняются разработчиком проекта, ответственным за подготовку проекта нормативного правового акта, на стадии доработки проекта нормативного </w:t>
      </w:r>
      <w:r>
        <w:rPr>
          <w:rFonts w:ascii="Times New Roman" w:hAnsi="Times New Roman"/>
          <w:sz w:val="28"/>
          <w:szCs w:val="28"/>
        </w:rPr>
        <w:lastRenderedPageBreak/>
        <w:t>правового акта, после чего доработанный проект нормативного правового акта направляется повторно ответственному лицу для проведения повторной антикоррупционной экспертизы.</w:t>
      </w:r>
    </w:p>
    <w:bookmarkEnd w:id="20"/>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before="108" w:after="108" w:line="240" w:lineRule="auto"/>
        <w:jc w:val="center"/>
        <w:outlineLvl w:val="0"/>
        <w:rPr>
          <w:rFonts w:ascii="Times New Roman" w:hAnsi="Times New Roman"/>
          <w:b/>
          <w:bCs/>
          <w:sz w:val="28"/>
          <w:szCs w:val="28"/>
        </w:rPr>
      </w:pPr>
      <w:bookmarkStart w:id="21" w:name="sub_300"/>
      <w:r>
        <w:rPr>
          <w:rFonts w:ascii="Times New Roman" w:hAnsi="Times New Roman"/>
          <w:b/>
          <w:bCs/>
          <w:sz w:val="28"/>
          <w:szCs w:val="28"/>
        </w:rPr>
        <w:t>III. Обеспечение проведения независимой антикоррупционной экспертизы проектов нормативных правовых актов</w:t>
      </w:r>
    </w:p>
    <w:bookmarkEnd w:id="21"/>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2" w:name="sub_1015"/>
      <w:r>
        <w:rPr>
          <w:rFonts w:ascii="Times New Roman" w:hAnsi="Times New Roman"/>
          <w:sz w:val="28"/>
          <w:szCs w:val="28"/>
        </w:rPr>
        <w:t xml:space="preserve">13. </w:t>
      </w:r>
      <w:proofErr w:type="gramStart"/>
      <w:r>
        <w:rPr>
          <w:rFonts w:ascii="Times New Roman" w:hAnsi="Times New Roman"/>
          <w:sz w:val="28"/>
          <w:szCs w:val="28"/>
        </w:rPr>
        <w:t>В целях обеспечения возможности проведения независимой антикоррупционной экспертизы проектов нормативных правовых актов Комитета, структурные подразделения - разработчики проектов нормативных правовых актов в течение рабочего дня, после внесения соответствующих изменений в проект правового акта, размещают эти проекты на сайте Комитета с указанием дат начала и окончания приема заключений по результатам независимой антикоррупционной экспертизы.</w:t>
      </w:r>
      <w:proofErr w:type="gramEnd"/>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3" w:name="sub_1016"/>
      <w:bookmarkEnd w:id="22"/>
      <w:r>
        <w:rPr>
          <w:rFonts w:ascii="Times New Roman" w:hAnsi="Times New Roman"/>
          <w:sz w:val="28"/>
          <w:szCs w:val="28"/>
        </w:rPr>
        <w:t>14. При размещении проекта нормативного правового акта на сайте Комитета указывается адрес электронной почты, на который следует направлять экспертные заключения, подготовленные по результатам независимой антикоррупционной экспертизы.</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4" w:name="sub_1017"/>
      <w:bookmarkEnd w:id="23"/>
      <w:r>
        <w:rPr>
          <w:rFonts w:ascii="Times New Roman" w:hAnsi="Times New Roman"/>
          <w:sz w:val="28"/>
          <w:szCs w:val="28"/>
        </w:rPr>
        <w:t>15. Срок размещения проектов нормативных правовых актов на сайте для проведения независимой антикоррупционной экспертизы составляет не менее семи дней.</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5" w:name="sub_1018"/>
      <w:bookmarkEnd w:id="24"/>
      <w:r>
        <w:rPr>
          <w:rFonts w:ascii="Times New Roman" w:hAnsi="Times New Roman"/>
          <w:sz w:val="28"/>
          <w:szCs w:val="28"/>
        </w:rPr>
        <w:t>16.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6" w:name="sub_1019"/>
      <w:bookmarkEnd w:id="25"/>
      <w:r>
        <w:rPr>
          <w:rFonts w:ascii="Times New Roman" w:hAnsi="Times New Roman"/>
          <w:sz w:val="28"/>
          <w:szCs w:val="28"/>
        </w:rPr>
        <w:t xml:space="preserve">17. Поступившие в Комитет заключения по результатам независимой антикоррупционной экспертизы рассматриваются ответственным лицом и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устраняются.</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7" w:name="sub_1020"/>
      <w:bookmarkEnd w:id="26"/>
      <w:r>
        <w:rPr>
          <w:rFonts w:ascii="Times New Roman" w:hAnsi="Times New Roman"/>
          <w:sz w:val="28"/>
          <w:szCs w:val="28"/>
        </w:rPr>
        <w:t>18. Заключения по результатам независимой антикоррупционной экспертизы носят рекомендательный характер и подлежат обязательному рассмотрению в  тридцатидневный срок со дня его получения.</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8" w:name="sub_1021"/>
      <w:bookmarkEnd w:id="27"/>
      <w:r>
        <w:rPr>
          <w:rFonts w:ascii="Times New Roman" w:hAnsi="Times New Roman"/>
          <w:sz w:val="28"/>
          <w:szCs w:val="28"/>
        </w:rPr>
        <w:t>19. По результатам рассмотрения гражданину или организации, проводившим независимую антикоррупционную экспертизу, направляется мотивированный ответ в течение тридцати календарных дней, за исключением случаев, когда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отсутствуют предложения по устранению выявленных коррупциогенных факторов.</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29" w:name="sub_1022"/>
      <w:bookmarkEnd w:id="28"/>
      <w:r>
        <w:rPr>
          <w:rFonts w:ascii="Times New Roman" w:hAnsi="Times New Roman"/>
          <w:sz w:val="28"/>
          <w:szCs w:val="28"/>
        </w:rPr>
        <w:t xml:space="preserve">20. Положения проекта нормативного правового акта, содержащие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30" w:name="sub_1023"/>
      <w:bookmarkEnd w:id="29"/>
      <w:r>
        <w:rPr>
          <w:rFonts w:ascii="Times New Roman" w:hAnsi="Times New Roman"/>
          <w:sz w:val="28"/>
          <w:szCs w:val="28"/>
        </w:rPr>
        <w:t xml:space="preserve">21.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или </w:t>
      </w:r>
      <w:r>
        <w:rPr>
          <w:rFonts w:ascii="Times New Roman" w:hAnsi="Times New Roman"/>
          <w:sz w:val="28"/>
          <w:szCs w:val="28"/>
        </w:rPr>
        <w:lastRenderedPageBreak/>
        <w:t>должностное лицо, ответственное за подготовку проекта нормативного правового акта, повторно представляет проект нормативного правового акта на рассмотрение ответственному лицу с приложением поступивших заключений по результатам независимой антикоррупционной экспертизы.</w:t>
      </w:r>
    </w:p>
    <w:bookmarkEnd w:id="30"/>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before="108" w:after="108" w:line="240" w:lineRule="auto"/>
        <w:jc w:val="center"/>
        <w:outlineLvl w:val="0"/>
        <w:rPr>
          <w:rFonts w:ascii="Times New Roman" w:hAnsi="Times New Roman"/>
          <w:b/>
          <w:bCs/>
          <w:sz w:val="28"/>
          <w:szCs w:val="28"/>
        </w:rPr>
      </w:pPr>
      <w:bookmarkStart w:id="31" w:name="sub_400"/>
      <w:r>
        <w:rPr>
          <w:rFonts w:ascii="Times New Roman" w:hAnsi="Times New Roman"/>
          <w:b/>
          <w:bCs/>
          <w:sz w:val="28"/>
          <w:szCs w:val="28"/>
        </w:rPr>
        <w:t>IV. Порядок проведения антикоррупционной экспертизы нормативных правовых актов</w:t>
      </w:r>
    </w:p>
    <w:bookmarkEnd w:id="31"/>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autoSpaceDE w:val="0"/>
        <w:autoSpaceDN w:val="0"/>
        <w:adjustRightInd w:val="0"/>
        <w:spacing w:after="0" w:line="240" w:lineRule="auto"/>
        <w:ind w:firstLine="720"/>
        <w:jc w:val="both"/>
        <w:rPr>
          <w:rFonts w:ascii="Times New Roman" w:hAnsi="Times New Roman"/>
          <w:bCs/>
          <w:sz w:val="28"/>
          <w:szCs w:val="28"/>
        </w:rPr>
      </w:pPr>
      <w:bookmarkStart w:id="32" w:name="sub_1025"/>
      <w:r>
        <w:rPr>
          <w:rFonts w:ascii="Times New Roman" w:hAnsi="Times New Roman"/>
          <w:sz w:val="28"/>
          <w:szCs w:val="28"/>
        </w:rPr>
        <w:t xml:space="preserve">22. </w:t>
      </w:r>
      <w:proofErr w:type="gramStart"/>
      <w:r>
        <w:rPr>
          <w:rFonts w:ascii="Times New Roman" w:hAnsi="Times New Roman"/>
          <w:sz w:val="28"/>
          <w:szCs w:val="28"/>
        </w:rPr>
        <w:t xml:space="preserve">В целях проведения антикоррупционной экспертизы нормативных правовых актов структурные подразделения, должностное лицо, ответственные за подготовку соответствующих актов, после их подписания (утверждения) Председателем Комитета или лицом, исполняющим его обязанности ведут постоянный мониторинг их применения для выявления в них коррупциогенных факторов в соответствии с </w:t>
      </w:r>
      <w:hyperlink r:id="rId9" w:history="1">
        <w:r>
          <w:rPr>
            <w:rStyle w:val="a4"/>
            <w:rFonts w:ascii="Times New Roman" w:hAnsi="Times New Roman"/>
            <w:color w:val="auto"/>
            <w:sz w:val="28"/>
            <w:szCs w:val="28"/>
            <w:u w:val="none"/>
          </w:rPr>
          <w:t>Методикой</w:t>
        </w:r>
      </w:hyperlink>
      <w:r>
        <w:rPr>
          <w:rFonts w:ascii="Times New Roman" w:hAnsi="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утвержденного </w:t>
      </w:r>
      <w:r>
        <w:rPr>
          <w:rFonts w:ascii="Times New Roman" w:hAnsi="Times New Roman"/>
          <w:bCs/>
          <w:sz w:val="28"/>
          <w:szCs w:val="28"/>
        </w:rPr>
        <w:t>постановлением Правительства Российской Федерации от</w:t>
      </w:r>
      <w:proofErr w:type="gramEnd"/>
      <w:r>
        <w:rPr>
          <w:rFonts w:ascii="Times New Roman" w:hAnsi="Times New Roman"/>
          <w:bCs/>
          <w:sz w:val="28"/>
          <w:szCs w:val="28"/>
        </w:rPr>
        <w:t xml:space="preserve"> 26 февраля 2010 года № 96 «Об антикоррупционной экспертизе нормативных правовых актов и проектов нормативных правовых актов».</w:t>
      </w:r>
    </w:p>
    <w:bookmarkEnd w:id="32"/>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мониторинге осуществляются сбор и обобщение информации о практике применения нормативных правовых актов, ее анализ и оценка.</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33" w:name="sub_1026"/>
      <w:r>
        <w:rPr>
          <w:rFonts w:ascii="Times New Roman" w:hAnsi="Times New Roman"/>
          <w:sz w:val="28"/>
          <w:szCs w:val="28"/>
        </w:rPr>
        <w:t xml:space="preserve">23. При обнаружении в нормативных правовых актах Комитета коррупциогенных факторов ответственным лицом антикоррупционная экспертиза, проводится в соответствии с </w:t>
      </w:r>
      <w:hyperlink r:id="rId10" w:anchor="sub_200" w:history="1">
        <w:r>
          <w:rPr>
            <w:rStyle w:val="a4"/>
            <w:rFonts w:ascii="Times New Roman" w:hAnsi="Times New Roman"/>
            <w:color w:val="auto"/>
            <w:sz w:val="28"/>
            <w:szCs w:val="28"/>
            <w:u w:val="none"/>
          </w:rPr>
          <w:t>разделом II</w:t>
        </w:r>
      </w:hyperlink>
      <w:r>
        <w:rPr>
          <w:rFonts w:ascii="Times New Roman" w:hAnsi="Times New Roman"/>
          <w:sz w:val="28"/>
          <w:szCs w:val="28"/>
        </w:rPr>
        <w:t xml:space="preserve"> настоящего Порядка.</w:t>
      </w:r>
    </w:p>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bookmarkStart w:id="34" w:name="sub_1027"/>
      <w:bookmarkEnd w:id="33"/>
      <w:r>
        <w:rPr>
          <w:rFonts w:ascii="Times New Roman" w:hAnsi="Times New Roman"/>
          <w:sz w:val="28"/>
          <w:szCs w:val="28"/>
        </w:rPr>
        <w:t>24. На основании заключения ответственного лица по результатам проведения антикоррупционной экспертизы соответствующее структурное подразделение или должностное лицо направляет нормативный правовой акт Председателю Комитета или лицу, исполняющему его обязанности, для принятия соответствующего решения (подписания).</w:t>
      </w:r>
    </w:p>
    <w:bookmarkEnd w:id="34"/>
    <w:p w:rsidR="00E47001" w:rsidRDefault="00E47001" w:rsidP="00E47001">
      <w:pPr>
        <w:autoSpaceDE w:val="0"/>
        <w:autoSpaceDN w:val="0"/>
        <w:adjustRightInd w:val="0"/>
        <w:spacing w:after="0" w:line="240" w:lineRule="auto"/>
        <w:ind w:firstLine="720"/>
        <w:jc w:val="both"/>
        <w:rPr>
          <w:rFonts w:ascii="Times New Roman" w:hAnsi="Times New Roman"/>
          <w:sz w:val="28"/>
          <w:szCs w:val="28"/>
        </w:rPr>
      </w:pPr>
    </w:p>
    <w:p w:rsidR="00E47001" w:rsidRDefault="00E47001" w:rsidP="00E47001">
      <w:pPr>
        <w:rPr>
          <w:rFonts w:ascii="Times New Roman" w:hAnsi="Times New Roman"/>
          <w:sz w:val="28"/>
          <w:szCs w:val="28"/>
        </w:rPr>
      </w:pPr>
    </w:p>
    <w:p w:rsidR="00C56583" w:rsidRDefault="00C56583">
      <w:bookmarkStart w:id="35" w:name="_GoBack"/>
      <w:bookmarkEnd w:id="35"/>
    </w:p>
    <w:sectPr w:rsidR="00C5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49"/>
    <w:rsid w:val="00305249"/>
    <w:rsid w:val="00C56583"/>
    <w:rsid w:val="00E4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0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0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0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633.2000" TargetMode="External"/><Relationship Id="rId3" Type="http://schemas.openxmlformats.org/officeDocument/2006/relationships/settings" Target="settings.xml"/><Relationship Id="rId7" Type="http://schemas.openxmlformats.org/officeDocument/2006/relationships/hyperlink" Target="garantF1://97633.20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97633.2000" TargetMode="External"/><Relationship Id="rId11" Type="http://schemas.openxmlformats.org/officeDocument/2006/relationships/fontTable" Target="fontTable.xml"/><Relationship Id="rId5" Type="http://schemas.openxmlformats.org/officeDocument/2006/relationships/hyperlink" Target="file:///C:\Documents%20and%20Settings\admin\&#1056;&#1072;&#1073;&#1086;&#1095;&#1080;&#1081;%20&#1089;&#1090;&#1086;&#1083;\&#1056;&#1072;&#1073;&#1086;&#1090;&#1072;\&#1055;&#1088;&#1086;&#1074;&#1077;&#1088;&#1082;&#1072;%20&#1086;&#1082;&#1090;&#1103;&#1073;&#1088;&#1100;%202016\&#1076;&#1086;&#1082;&#1091;&#1084;&#1077;&#1085;&#1090;&#1099;%20&#1085;&#1072;%20&#1087;&#1088;&#1086;&#1074;&#1077;&#1088;&#1082;&#1091;\&#1055;&#1080;&#1082;&#1072;&#1079;%20&#1087;&#1086;%20&#1072;&#1085;&#1090;&#1080;&#1082;&#1086;&#1088;&#1088;%20&#1101;&#1082;&#1089;&#1087;&#1077;&#1088;&#1090;&#1080;&#1079;&#1077;%20&#1053;&#1055;&#1040;.docx" TargetMode="External"/><Relationship Id="rId10" Type="http://schemas.openxmlformats.org/officeDocument/2006/relationships/hyperlink" Target="file:///C:\Documents%20and%20Settings\admin\&#1056;&#1072;&#1073;&#1086;&#1095;&#1080;&#1081;%20&#1089;&#1090;&#1086;&#1083;\&#1056;&#1072;&#1073;&#1086;&#1090;&#1072;\&#1055;&#1088;&#1086;&#1074;&#1077;&#1088;&#1082;&#1072;%20&#1086;&#1082;&#1090;&#1103;&#1073;&#1088;&#1100;%202016\&#1076;&#1086;&#1082;&#1091;&#1084;&#1077;&#1085;&#1090;&#1099;%20&#1085;&#1072;%20&#1087;&#1088;&#1086;&#1074;&#1077;&#1088;&#1082;&#1091;\&#1055;&#1080;&#1082;&#1072;&#1079;%20&#1087;&#1086;%20&#1072;&#1085;&#1090;&#1080;&#1082;&#1086;&#1088;&#1088;%20&#1101;&#1082;&#1089;&#1087;&#1077;&#1088;&#1090;&#1080;&#1079;&#1077;%20&#1053;&#1055;&#1040;.docx" TargetMode="External"/><Relationship Id="rId4" Type="http://schemas.openxmlformats.org/officeDocument/2006/relationships/webSettings" Target="webSettings.xml"/><Relationship Id="rId9" Type="http://schemas.openxmlformats.org/officeDocument/2006/relationships/hyperlink" Target="garantF1://9763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2016-10-25T08:12:00Z</dcterms:created>
  <dcterms:modified xsi:type="dcterms:W3CDTF">2016-10-25T08:12:00Z</dcterms:modified>
</cp:coreProperties>
</file>